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11A4A" w14:textId="77777777" w:rsidR="009A104C" w:rsidRPr="009A104C" w:rsidRDefault="009A104C" w:rsidP="009A104C">
      <w:r w:rsidRPr="009A104C">
        <w:t>To</w:t>
      </w:r>
      <w:r w:rsidRPr="009A104C">
        <w:br/>
        <w:t>The IFRS Interpretations Committee</w:t>
      </w:r>
      <w:r w:rsidRPr="009A104C">
        <w:br/>
        <w:t>IFRS Foundation</w:t>
      </w:r>
    </w:p>
    <w:p w14:paraId="7D4A6198" w14:textId="77777777" w:rsidR="009A104C" w:rsidRPr="009A104C" w:rsidRDefault="009A104C" w:rsidP="009A104C">
      <w:r w:rsidRPr="009A104C">
        <w:rPr>
          <w:b/>
          <w:bCs/>
        </w:rPr>
        <w:t>Subject:</w:t>
      </w:r>
      <w:r w:rsidRPr="009A104C">
        <w:t xml:space="preserve"> Comments on Tentative Agenda Decision – Classification of Gains and Losses on a Derivative Managing a Foreign Exchange Exposure (IFRS 18)</w:t>
      </w:r>
    </w:p>
    <w:p w14:paraId="298F1249" w14:textId="77777777" w:rsidR="009A104C" w:rsidRPr="009A104C" w:rsidRDefault="009A104C" w:rsidP="009A104C">
      <w:r w:rsidRPr="009A104C">
        <w:t>Dear Sir/Madam,</w:t>
      </w:r>
    </w:p>
    <w:p w14:paraId="70BD3CFA" w14:textId="77777777" w:rsidR="009A104C" w:rsidRPr="009A104C" w:rsidRDefault="009A104C" w:rsidP="009A104C">
      <w:r w:rsidRPr="009A104C">
        <w:t xml:space="preserve">We thank the IFRS Interpretations Committee for issuing the Tentative Agenda Decision (TAD) on the classification of gains and losses on derivatives used to manage foreign exchange risk under </w:t>
      </w:r>
      <w:r w:rsidRPr="009A104C">
        <w:rPr>
          <w:b/>
          <w:bCs/>
        </w:rPr>
        <w:t>IFRS 18</w:t>
      </w:r>
      <w:r w:rsidRPr="009A104C">
        <w:t>, and for inviting stakeholder comments.</w:t>
      </w:r>
    </w:p>
    <w:p w14:paraId="26D94772" w14:textId="77777777" w:rsidR="009A104C" w:rsidRPr="009A104C" w:rsidRDefault="009A104C" w:rsidP="009A104C">
      <w:r w:rsidRPr="009A104C">
        <w:t>We provide our detailed and comparative observations below.</w:t>
      </w:r>
    </w:p>
    <w:p w14:paraId="7896A75E" w14:textId="77777777" w:rsidR="009A104C" w:rsidRPr="009A104C" w:rsidRDefault="00FC35BE" w:rsidP="009A104C">
      <w:r>
        <w:pict w14:anchorId="7BF12E80">
          <v:rect id="_x0000_i1025" style="width:0;height:1.5pt" o:hralign="center" o:hrstd="t" o:hr="t" fillcolor="#a0a0a0" stroked="f"/>
        </w:pict>
      </w:r>
    </w:p>
    <w:p w14:paraId="469FC1E0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1. Overall Support for the Committee’s Conclusion</w:t>
      </w:r>
    </w:p>
    <w:p w14:paraId="79DD8A9C" w14:textId="77777777" w:rsidR="009A104C" w:rsidRPr="009A104C" w:rsidRDefault="009A104C" w:rsidP="009A104C">
      <w:r w:rsidRPr="009A104C">
        <w:t xml:space="preserve">We agree with the Committee’s conclusion that the principles and application guidance in </w:t>
      </w:r>
      <w:r w:rsidRPr="009A104C">
        <w:rPr>
          <w:b/>
          <w:bCs/>
        </w:rPr>
        <w:t>paragraphs B70–B76 of IFRS 18</w:t>
      </w:r>
      <w:r w:rsidRPr="009A104C">
        <w:t xml:space="preserve"> provide an adequate basis to classify gains and losses on derivatives that are used to manage identified risks but are </w:t>
      </w:r>
      <w:r w:rsidRPr="009A104C">
        <w:rPr>
          <w:b/>
          <w:bCs/>
        </w:rPr>
        <w:t>not designated as hedging instruments under IFRS 9</w:t>
      </w:r>
      <w:r w:rsidRPr="009A104C">
        <w:t>.</w:t>
      </w:r>
    </w:p>
    <w:p w14:paraId="431B7384" w14:textId="77777777" w:rsidR="009A104C" w:rsidRPr="009A104C" w:rsidRDefault="009A104C" w:rsidP="009A104C">
      <w:r w:rsidRPr="009A104C">
        <w:t xml:space="preserve">The conclusion that, in the fact pattern presented, gains and losses on the external derivative should be classified in the </w:t>
      </w:r>
      <w:r w:rsidRPr="009A104C">
        <w:rPr>
          <w:b/>
          <w:bCs/>
        </w:rPr>
        <w:t>financing category</w:t>
      </w:r>
      <w:r w:rsidRPr="009A104C">
        <w:t xml:space="preserve"> is consistent with:</w:t>
      </w:r>
    </w:p>
    <w:p w14:paraId="0F2B57B6" w14:textId="77777777" w:rsidR="009A104C" w:rsidRPr="009A104C" w:rsidRDefault="009A104C" w:rsidP="009A104C">
      <w:pPr>
        <w:numPr>
          <w:ilvl w:val="0"/>
          <w:numId w:val="8"/>
        </w:numPr>
      </w:pPr>
      <w:r w:rsidRPr="009A104C">
        <w:t xml:space="preserve">the entity’s </w:t>
      </w:r>
      <w:r w:rsidRPr="009A104C">
        <w:rPr>
          <w:b/>
          <w:bCs/>
        </w:rPr>
        <w:t>risk management objective</w:t>
      </w:r>
      <w:r w:rsidRPr="009A104C">
        <w:t>, and</w:t>
      </w:r>
    </w:p>
    <w:p w14:paraId="0CD0A2E8" w14:textId="77777777" w:rsidR="009A104C" w:rsidRPr="009A104C" w:rsidRDefault="009A104C" w:rsidP="009A104C">
      <w:pPr>
        <w:numPr>
          <w:ilvl w:val="0"/>
          <w:numId w:val="8"/>
        </w:numPr>
      </w:pPr>
      <w:r w:rsidRPr="009A104C">
        <w:t xml:space="preserve">the principle of aligning derivative outcomes with the </w:t>
      </w:r>
      <w:r w:rsidRPr="009A104C">
        <w:rPr>
          <w:b/>
          <w:bCs/>
        </w:rPr>
        <w:t>income and expenses affected by the risk managed</w:t>
      </w:r>
      <w:r w:rsidRPr="009A104C">
        <w:t>.</w:t>
      </w:r>
    </w:p>
    <w:p w14:paraId="3B066431" w14:textId="77777777" w:rsidR="009A104C" w:rsidRPr="009A104C" w:rsidRDefault="00FC35BE" w:rsidP="009A104C">
      <w:r>
        <w:pict w14:anchorId="6E91D75D">
          <v:rect id="_x0000_i1026" style="width:0;height:1.5pt" o:hralign="center" o:hrstd="t" o:hr="t" fillcolor="#a0a0a0" stroked="f"/>
        </w:pict>
      </w:r>
    </w:p>
    <w:p w14:paraId="7F3E7155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 xml:space="preserve">2. Comparison with </w:t>
      </w:r>
      <w:proofErr w:type="gramStart"/>
      <w:r w:rsidRPr="009A104C">
        <w:rPr>
          <w:b/>
          <w:bCs/>
        </w:rPr>
        <w:t>Pre-IFRS</w:t>
      </w:r>
      <w:proofErr w:type="gramEnd"/>
      <w:r w:rsidRPr="009A104C">
        <w:rPr>
          <w:b/>
          <w:bCs/>
        </w:rPr>
        <w:t xml:space="preserve"> 18 Practice</w:t>
      </w:r>
    </w:p>
    <w:p w14:paraId="198EB94D" w14:textId="77777777" w:rsidR="009A104C" w:rsidRPr="009A104C" w:rsidRDefault="009A104C" w:rsidP="009A104C">
      <w:r w:rsidRPr="009A104C">
        <w:t xml:space="preserve">Under </w:t>
      </w:r>
      <w:r w:rsidRPr="009A104C">
        <w:rPr>
          <w:b/>
          <w:bCs/>
        </w:rPr>
        <w:t>IAS 1 / IAS 39 / IFRS 9</w:t>
      </w:r>
      <w:r w:rsidRPr="009A104C">
        <w:t>, entities often defaulted to presenting gains and losses on non-designated derivatives within operating profit, even when the derivative was economically linked to financing or investing activities. This frequently resulted in:</w:t>
      </w:r>
    </w:p>
    <w:p w14:paraId="13677659" w14:textId="77777777" w:rsidR="009A104C" w:rsidRPr="009A104C" w:rsidRDefault="009A104C" w:rsidP="009A104C">
      <w:pPr>
        <w:numPr>
          <w:ilvl w:val="0"/>
          <w:numId w:val="9"/>
        </w:numPr>
      </w:pPr>
      <w:r w:rsidRPr="009A104C">
        <w:t>volatility in operating results, and</w:t>
      </w:r>
    </w:p>
    <w:p w14:paraId="0333F0BA" w14:textId="77777777" w:rsidR="009A104C" w:rsidRPr="009A104C" w:rsidRDefault="009A104C" w:rsidP="009A104C">
      <w:pPr>
        <w:numPr>
          <w:ilvl w:val="0"/>
          <w:numId w:val="9"/>
        </w:numPr>
      </w:pPr>
      <w:r w:rsidRPr="009A104C">
        <w:t>reduced understandability of performance measures.</w:t>
      </w:r>
    </w:p>
    <w:p w14:paraId="7AA6D27A" w14:textId="77777777" w:rsidR="009A104C" w:rsidRPr="009A104C" w:rsidRDefault="009A104C" w:rsidP="009A104C">
      <w:r w:rsidRPr="009A104C">
        <w:t xml:space="preserve">The IFRS 18 model represents a </w:t>
      </w:r>
      <w:r w:rsidRPr="009A104C">
        <w:rPr>
          <w:b/>
          <w:bCs/>
        </w:rPr>
        <w:t>clear improvement</w:t>
      </w:r>
      <w:r w:rsidRPr="009A104C">
        <w:t xml:space="preserve"> by:</w:t>
      </w:r>
    </w:p>
    <w:p w14:paraId="6CE59A64" w14:textId="77777777" w:rsidR="009A104C" w:rsidRPr="009A104C" w:rsidRDefault="009A104C" w:rsidP="009A104C">
      <w:pPr>
        <w:numPr>
          <w:ilvl w:val="0"/>
          <w:numId w:val="10"/>
        </w:numPr>
      </w:pPr>
      <w:r w:rsidRPr="009A104C">
        <w:t xml:space="preserve">explicitly linking classification to the </w:t>
      </w:r>
      <w:r w:rsidRPr="009A104C">
        <w:rPr>
          <w:b/>
          <w:bCs/>
        </w:rPr>
        <w:t>risk being managed</w:t>
      </w:r>
      <w:r w:rsidRPr="009A104C">
        <w:t>, and</w:t>
      </w:r>
    </w:p>
    <w:p w14:paraId="3F60D9DA" w14:textId="77777777" w:rsidR="009A104C" w:rsidRPr="009A104C" w:rsidRDefault="009A104C" w:rsidP="009A104C">
      <w:pPr>
        <w:numPr>
          <w:ilvl w:val="0"/>
          <w:numId w:val="10"/>
        </w:numPr>
      </w:pPr>
      <w:r w:rsidRPr="009A104C">
        <w:t>discouraging arbitrary presentation based solely on instrument type.</w:t>
      </w:r>
    </w:p>
    <w:p w14:paraId="01924CDA" w14:textId="77777777" w:rsidR="009A104C" w:rsidRPr="009A104C" w:rsidRDefault="009A104C" w:rsidP="009A104C">
      <w:r w:rsidRPr="009A104C">
        <w:t xml:space="preserve">This enhances </w:t>
      </w:r>
      <w:r w:rsidRPr="009A104C">
        <w:rPr>
          <w:b/>
          <w:bCs/>
        </w:rPr>
        <w:t>faithful representation</w:t>
      </w:r>
      <w:r w:rsidRPr="009A104C">
        <w:t xml:space="preserve"> compared to prior practice.</w:t>
      </w:r>
    </w:p>
    <w:p w14:paraId="649AF3B3" w14:textId="77777777" w:rsidR="009A104C" w:rsidRPr="009A104C" w:rsidRDefault="00FC35BE" w:rsidP="009A104C">
      <w:r>
        <w:pict w14:anchorId="6BFFF628">
          <v:rect id="_x0000_i1027" style="width:0;height:1.5pt" o:hralign="center" o:hrstd="t" o:hr="t" fillcolor="#a0a0a0" stroked="f"/>
        </w:pict>
      </w:r>
    </w:p>
    <w:p w14:paraId="27841630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3. Comparison with IFRS 9 Hedge Accounting</w:t>
      </w:r>
    </w:p>
    <w:p w14:paraId="1153ED8E" w14:textId="77777777" w:rsidR="009A104C" w:rsidRPr="009A104C" w:rsidRDefault="009A104C" w:rsidP="009A104C">
      <w:r w:rsidRPr="009A104C">
        <w:t>While IFRS 9 hedge accounting requires strict documentation, effectiveness testing and designation criteria, IFRS 18:</w:t>
      </w:r>
    </w:p>
    <w:p w14:paraId="5BCD2A50" w14:textId="77777777" w:rsidR="009A104C" w:rsidRPr="009A104C" w:rsidRDefault="009A104C" w:rsidP="009A104C">
      <w:pPr>
        <w:numPr>
          <w:ilvl w:val="0"/>
          <w:numId w:val="11"/>
        </w:numPr>
      </w:pPr>
      <w:r w:rsidRPr="009A104C">
        <w:t xml:space="preserve">allows classification alignment </w:t>
      </w:r>
      <w:r w:rsidRPr="009A104C">
        <w:rPr>
          <w:b/>
          <w:bCs/>
        </w:rPr>
        <w:t>without formal hedge designation</w:t>
      </w:r>
      <w:r w:rsidRPr="009A104C">
        <w:t>, and</w:t>
      </w:r>
    </w:p>
    <w:p w14:paraId="68DD3513" w14:textId="77777777" w:rsidR="009A104C" w:rsidRPr="009A104C" w:rsidRDefault="009A104C" w:rsidP="009A104C">
      <w:pPr>
        <w:numPr>
          <w:ilvl w:val="0"/>
          <w:numId w:val="11"/>
        </w:numPr>
      </w:pPr>
      <w:r w:rsidRPr="009A104C">
        <w:t xml:space="preserve">relies on </w:t>
      </w:r>
      <w:r w:rsidRPr="009A104C">
        <w:rPr>
          <w:b/>
          <w:bCs/>
        </w:rPr>
        <w:t>substance of risk management</w:t>
      </w:r>
      <w:r w:rsidRPr="009A104C">
        <w:t>, not form.</w:t>
      </w:r>
    </w:p>
    <w:p w14:paraId="0949F6F8" w14:textId="77777777" w:rsidR="009A104C" w:rsidRPr="009A104C" w:rsidRDefault="009A104C" w:rsidP="009A104C">
      <w:r w:rsidRPr="009A104C">
        <w:t>We view this as a pragmatic balance:</w:t>
      </w:r>
    </w:p>
    <w:p w14:paraId="75942C22" w14:textId="77777777" w:rsidR="009A104C" w:rsidRPr="009A104C" w:rsidRDefault="009A104C" w:rsidP="009A104C">
      <w:pPr>
        <w:numPr>
          <w:ilvl w:val="0"/>
          <w:numId w:val="12"/>
        </w:numPr>
      </w:pPr>
      <w:r w:rsidRPr="009A104C">
        <w:lastRenderedPageBreak/>
        <w:t xml:space="preserve">IFRS 9 continues to govern </w:t>
      </w:r>
      <w:r w:rsidRPr="009A104C">
        <w:rPr>
          <w:b/>
          <w:bCs/>
        </w:rPr>
        <w:t>measurement and recognition</w:t>
      </w:r>
      <w:r w:rsidRPr="009A104C">
        <w:t>, while</w:t>
      </w:r>
    </w:p>
    <w:p w14:paraId="506DFC5A" w14:textId="77777777" w:rsidR="009A104C" w:rsidRPr="009A104C" w:rsidRDefault="009A104C" w:rsidP="009A104C">
      <w:pPr>
        <w:numPr>
          <w:ilvl w:val="0"/>
          <w:numId w:val="12"/>
        </w:numPr>
      </w:pPr>
      <w:r w:rsidRPr="009A104C">
        <w:t xml:space="preserve">IFRS 18 governs </w:t>
      </w:r>
      <w:r w:rsidRPr="009A104C">
        <w:rPr>
          <w:b/>
          <w:bCs/>
        </w:rPr>
        <w:t>presentation</w:t>
      </w:r>
      <w:r w:rsidRPr="009A104C">
        <w:t>, ensuring the statement of profit or loss reflects economic reality.</w:t>
      </w:r>
    </w:p>
    <w:p w14:paraId="2676E708" w14:textId="77777777" w:rsidR="009A104C" w:rsidRPr="009A104C" w:rsidRDefault="009A104C" w:rsidP="009A104C">
      <w:r w:rsidRPr="009A104C">
        <w:t xml:space="preserve">However, this also increases the importance of </w:t>
      </w:r>
      <w:r w:rsidRPr="009A104C">
        <w:rPr>
          <w:b/>
          <w:bCs/>
        </w:rPr>
        <w:t>robust risk management documentation</w:t>
      </w:r>
      <w:r w:rsidRPr="009A104C">
        <w:t>, even where hedge accounting is not applied.</w:t>
      </w:r>
    </w:p>
    <w:p w14:paraId="3A89EBAF" w14:textId="77777777" w:rsidR="009A104C" w:rsidRPr="009A104C" w:rsidRDefault="00FC35BE" w:rsidP="009A104C">
      <w:r>
        <w:pict w14:anchorId="5593419C">
          <v:rect id="_x0000_i1028" style="width:0;height:1.5pt" o:hralign="center" o:hrstd="t" o:hr="t" fillcolor="#a0a0a0" stroked="f"/>
        </w:pict>
      </w:r>
    </w:p>
    <w:p w14:paraId="582360E1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4. Net Risk Management vs Gross Exposure Management</w:t>
      </w:r>
    </w:p>
    <w:p w14:paraId="60487C71" w14:textId="77777777" w:rsidR="009A104C" w:rsidRPr="009A104C" w:rsidRDefault="009A104C" w:rsidP="009A104C">
      <w:r w:rsidRPr="009A104C">
        <w:t>The Committee’s distinction between:</w:t>
      </w:r>
    </w:p>
    <w:p w14:paraId="57DAD9AF" w14:textId="77777777" w:rsidR="009A104C" w:rsidRPr="009A104C" w:rsidRDefault="009A104C" w:rsidP="009A104C">
      <w:pPr>
        <w:numPr>
          <w:ilvl w:val="0"/>
          <w:numId w:val="13"/>
        </w:numPr>
      </w:pPr>
      <w:r w:rsidRPr="009A104C">
        <w:t xml:space="preserve">derivatives managing </w:t>
      </w:r>
      <w:r w:rsidRPr="009A104C">
        <w:rPr>
          <w:b/>
          <w:bCs/>
        </w:rPr>
        <w:t>net exposures</w:t>
      </w:r>
      <w:r w:rsidRPr="009A104C">
        <w:t xml:space="preserve"> (single category impact), and</w:t>
      </w:r>
    </w:p>
    <w:p w14:paraId="01DDF83A" w14:textId="77777777" w:rsidR="009A104C" w:rsidRPr="009A104C" w:rsidRDefault="009A104C" w:rsidP="009A104C">
      <w:pPr>
        <w:numPr>
          <w:ilvl w:val="0"/>
          <w:numId w:val="13"/>
        </w:numPr>
      </w:pPr>
      <w:r w:rsidRPr="009A104C">
        <w:t xml:space="preserve">derivatives managing </w:t>
      </w:r>
      <w:r w:rsidRPr="009A104C">
        <w:rPr>
          <w:b/>
          <w:bCs/>
        </w:rPr>
        <w:t>gross exposures</w:t>
      </w:r>
      <w:r w:rsidRPr="009A104C">
        <w:t xml:space="preserve"> (multiple category impacts)</w:t>
      </w:r>
    </w:p>
    <w:p w14:paraId="3B8880E4" w14:textId="77777777" w:rsidR="009A104C" w:rsidRPr="009A104C" w:rsidRDefault="009A104C" w:rsidP="009A104C">
      <w:r w:rsidRPr="009A104C">
        <w:t xml:space="preserve">is conceptually sound and </w:t>
      </w:r>
      <w:proofErr w:type="spellStart"/>
      <w:r w:rsidRPr="009A104C">
        <w:t>well articulated</w:t>
      </w:r>
      <w:proofErr w:type="spellEnd"/>
      <w:r w:rsidRPr="009A104C">
        <w:t>.</w:t>
      </w:r>
    </w:p>
    <w:p w14:paraId="7EC59107" w14:textId="77777777" w:rsidR="009A104C" w:rsidRPr="009A104C" w:rsidRDefault="009A104C" w:rsidP="009A104C">
      <w:r w:rsidRPr="009A104C">
        <w:t>We agree that:</w:t>
      </w:r>
    </w:p>
    <w:p w14:paraId="7C59C774" w14:textId="77777777" w:rsidR="009A104C" w:rsidRPr="009A104C" w:rsidRDefault="009A104C" w:rsidP="009A104C">
      <w:pPr>
        <w:numPr>
          <w:ilvl w:val="0"/>
          <w:numId w:val="14"/>
        </w:numPr>
      </w:pPr>
      <w:r w:rsidRPr="009A104C">
        <w:t xml:space="preserve">where a derivative manages </w:t>
      </w:r>
      <w:r w:rsidRPr="009A104C">
        <w:rPr>
          <w:b/>
          <w:bCs/>
        </w:rPr>
        <w:t>net foreign exchange risk</w:t>
      </w:r>
      <w:r w:rsidRPr="009A104C">
        <w:t xml:space="preserve"> affecting a single category (financing, in this case),</w:t>
      </w:r>
    </w:p>
    <w:p w14:paraId="1B45AE8B" w14:textId="77777777" w:rsidR="009A104C" w:rsidRPr="009A104C" w:rsidRDefault="009A104C" w:rsidP="009A104C">
      <w:pPr>
        <w:numPr>
          <w:ilvl w:val="0"/>
          <w:numId w:val="14"/>
        </w:numPr>
      </w:pPr>
      <w:r w:rsidRPr="009A104C">
        <w:t xml:space="preserve">classification in that category does </w:t>
      </w:r>
      <w:r w:rsidRPr="009A104C">
        <w:rPr>
          <w:b/>
          <w:bCs/>
        </w:rPr>
        <w:t>not result in prohibited grossing up</w:t>
      </w:r>
      <w:r w:rsidRPr="009A104C">
        <w:t>.</w:t>
      </w:r>
    </w:p>
    <w:p w14:paraId="5B45D8A5" w14:textId="77777777" w:rsidR="009A104C" w:rsidRPr="009A104C" w:rsidRDefault="009A104C" w:rsidP="009A104C">
      <w:r w:rsidRPr="009A104C">
        <w:t>This clarification will be extremely valuable in practice, particularly for treasury entities operating at group level.</w:t>
      </w:r>
    </w:p>
    <w:p w14:paraId="21951D17" w14:textId="77777777" w:rsidR="009A104C" w:rsidRPr="009A104C" w:rsidRDefault="00FC35BE" w:rsidP="009A104C">
      <w:r>
        <w:pict w14:anchorId="0D48D8DD">
          <v:rect id="_x0000_i1029" style="width:0;height:1.5pt" o:hralign="center" o:hrstd="t" o:hr="t" fillcolor="#a0a0a0" stroked="f"/>
        </w:pict>
      </w:r>
    </w:p>
    <w:p w14:paraId="7089CB74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5. Internal vs External Derivatives – Consolidation Perspective</w:t>
      </w:r>
    </w:p>
    <w:p w14:paraId="714F01A5" w14:textId="77777777" w:rsidR="009A104C" w:rsidRPr="009A104C" w:rsidRDefault="009A104C" w:rsidP="009A104C">
      <w:r w:rsidRPr="009A104C">
        <w:t xml:space="preserve">We strongly support the Committee’s focus on </w:t>
      </w:r>
      <w:r w:rsidRPr="009A104C">
        <w:rPr>
          <w:b/>
          <w:bCs/>
        </w:rPr>
        <w:t>external derivatives only</w:t>
      </w:r>
      <w:r w:rsidRPr="009A104C">
        <w:t>, consistent with:</w:t>
      </w:r>
    </w:p>
    <w:p w14:paraId="7EFF1558" w14:textId="77777777" w:rsidR="009A104C" w:rsidRPr="009A104C" w:rsidRDefault="009A104C" w:rsidP="009A104C">
      <w:pPr>
        <w:numPr>
          <w:ilvl w:val="0"/>
          <w:numId w:val="15"/>
        </w:numPr>
      </w:pPr>
      <w:r w:rsidRPr="009A104C">
        <w:t>the consolidation principles in IFRS, and</w:t>
      </w:r>
    </w:p>
    <w:p w14:paraId="1AE2BB4B" w14:textId="77777777" w:rsidR="009A104C" w:rsidRPr="009A104C" w:rsidRDefault="009A104C" w:rsidP="009A104C">
      <w:pPr>
        <w:numPr>
          <w:ilvl w:val="0"/>
          <w:numId w:val="15"/>
        </w:numPr>
      </w:pPr>
      <w:r w:rsidRPr="009A104C">
        <w:t xml:space="preserve">the rationale in </w:t>
      </w:r>
      <w:r w:rsidRPr="009A104C">
        <w:rPr>
          <w:b/>
          <w:bCs/>
        </w:rPr>
        <w:t>BC6.144 of IFRS 9</w:t>
      </w:r>
      <w:r w:rsidRPr="009A104C">
        <w:t xml:space="preserve"> that internal risk transfers do not change the group’s overall risk exposure.</w:t>
      </w:r>
    </w:p>
    <w:p w14:paraId="0737FC80" w14:textId="77777777" w:rsidR="009A104C" w:rsidRPr="009A104C" w:rsidRDefault="009A104C" w:rsidP="009A104C">
      <w:r w:rsidRPr="009A104C">
        <w:t>This avoids misinterpretation and reinforces that:</w:t>
      </w:r>
    </w:p>
    <w:p w14:paraId="09DE5C39" w14:textId="77777777" w:rsidR="009A104C" w:rsidRPr="009A104C" w:rsidRDefault="009A104C" w:rsidP="009A104C">
      <w:pPr>
        <w:numPr>
          <w:ilvl w:val="0"/>
          <w:numId w:val="16"/>
        </w:numPr>
      </w:pPr>
      <w:r w:rsidRPr="009A104C">
        <w:t xml:space="preserve">only </w:t>
      </w:r>
      <w:r w:rsidRPr="009A104C">
        <w:rPr>
          <w:b/>
          <w:bCs/>
        </w:rPr>
        <w:t>risk transferred outside the reporting entity</w:t>
      </w:r>
      <w:r w:rsidRPr="009A104C">
        <w:t xml:space="preserve"> is relevant for financial reporting purposes.</w:t>
      </w:r>
    </w:p>
    <w:p w14:paraId="3284A025" w14:textId="77777777" w:rsidR="009A104C" w:rsidRPr="009A104C" w:rsidRDefault="00FC35BE" w:rsidP="009A104C">
      <w:r>
        <w:pict w14:anchorId="3EB44BEF">
          <v:rect id="_x0000_i1030" style="width:0;height:1.5pt" o:hralign="center" o:hrstd="t" o:hr="t" fillcolor="#a0a0a0" stroked="f"/>
        </w:pict>
      </w:r>
    </w:p>
    <w:p w14:paraId="25007014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6. Practical Implementation Challenges</w:t>
      </w:r>
    </w:p>
    <w:p w14:paraId="1CD8716E" w14:textId="77777777" w:rsidR="009A104C" w:rsidRPr="009A104C" w:rsidRDefault="009A104C" w:rsidP="009A104C">
      <w:r w:rsidRPr="009A104C">
        <w:t>While we agree with the conclusion, we note the following practical considerations:</w:t>
      </w:r>
    </w:p>
    <w:p w14:paraId="36844B59" w14:textId="77777777" w:rsidR="009A104C" w:rsidRPr="009A104C" w:rsidRDefault="009A104C" w:rsidP="009A104C">
      <w:pPr>
        <w:numPr>
          <w:ilvl w:val="0"/>
          <w:numId w:val="17"/>
        </w:numPr>
      </w:pPr>
      <w:r w:rsidRPr="009A104C">
        <w:rPr>
          <w:b/>
          <w:bCs/>
        </w:rPr>
        <w:t>Judgement intensity:</w:t>
      </w:r>
      <w:r w:rsidRPr="009A104C">
        <w:br/>
        <w:t>Identifying the precise risk managed (net vs gross, single vs multiple categories) requires significant judgement and strong internal governance.</w:t>
      </w:r>
    </w:p>
    <w:p w14:paraId="0C4B6CA1" w14:textId="77777777" w:rsidR="009A104C" w:rsidRPr="009A104C" w:rsidRDefault="009A104C" w:rsidP="009A104C">
      <w:pPr>
        <w:numPr>
          <w:ilvl w:val="0"/>
          <w:numId w:val="17"/>
        </w:numPr>
      </w:pPr>
      <w:r w:rsidRPr="009A104C">
        <w:rPr>
          <w:b/>
          <w:bCs/>
        </w:rPr>
        <w:t>Documentation expectations:</w:t>
      </w:r>
      <w:r w:rsidRPr="009A104C">
        <w:br/>
        <w:t>Although hedge accounting is not applied, entities will need documentation comparable in quality to hedge documentation to support classification decisions.</w:t>
      </w:r>
    </w:p>
    <w:p w14:paraId="4493010E" w14:textId="77777777" w:rsidR="009A104C" w:rsidRPr="009A104C" w:rsidRDefault="009A104C" w:rsidP="009A104C">
      <w:pPr>
        <w:numPr>
          <w:ilvl w:val="0"/>
          <w:numId w:val="17"/>
        </w:numPr>
      </w:pPr>
      <w:r w:rsidRPr="009A104C">
        <w:rPr>
          <w:b/>
          <w:bCs/>
        </w:rPr>
        <w:t>Audit and enforcement risk:</w:t>
      </w:r>
      <w:r w:rsidRPr="009A104C">
        <w:br/>
        <w:t>Differences in interpretation of “risk managed” could lead to diversity in practice without further illustrative guidance.</w:t>
      </w:r>
    </w:p>
    <w:p w14:paraId="569C4223" w14:textId="77777777" w:rsidR="009A104C" w:rsidRPr="009A104C" w:rsidRDefault="00FC35BE" w:rsidP="009A104C">
      <w:r>
        <w:pict w14:anchorId="25D1EBC3">
          <v:rect id="_x0000_i1031" style="width:0;height:1.5pt" o:hralign="center" o:hrstd="t" o:hr="t" fillcolor="#a0a0a0" stroked="f"/>
        </w:pict>
      </w:r>
    </w:p>
    <w:p w14:paraId="43A22091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7. Suggested Enhancements (Without Standard-Setting)</w:t>
      </w:r>
    </w:p>
    <w:p w14:paraId="3DC82B13" w14:textId="77777777" w:rsidR="009A104C" w:rsidRPr="009A104C" w:rsidRDefault="009A104C" w:rsidP="009A104C">
      <w:r w:rsidRPr="009A104C">
        <w:t>While we agree that no standard-setting project is required, we suggest:</w:t>
      </w:r>
    </w:p>
    <w:p w14:paraId="43294DEC" w14:textId="77777777" w:rsidR="009A104C" w:rsidRPr="009A104C" w:rsidRDefault="009A104C" w:rsidP="009A104C">
      <w:pPr>
        <w:numPr>
          <w:ilvl w:val="0"/>
          <w:numId w:val="18"/>
        </w:numPr>
      </w:pPr>
      <w:r w:rsidRPr="009A104C">
        <w:lastRenderedPageBreak/>
        <w:t xml:space="preserve">publishing </w:t>
      </w:r>
      <w:r w:rsidRPr="009A104C">
        <w:rPr>
          <w:b/>
          <w:bCs/>
        </w:rPr>
        <w:t>additional illustrative examples</w:t>
      </w:r>
      <w:r w:rsidRPr="009A104C">
        <w:t>, contrasting:</w:t>
      </w:r>
    </w:p>
    <w:p w14:paraId="229F1E4B" w14:textId="77777777" w:rsidR="009A104C" w:rsidRPr="009A104C" w:rsidRDefault="009A104C" w:rsidP="009A104C">
      <w:pPr>
        <w:numPr>
          <w:ilvl w:val="1"/>
          <w:numId w:val="18"/>
        </w:numPr>
      </w:pPr>
      <w:r w:rsidRPr="009A104C">
        <w:t>net exposure management vs gross exposure management; and</w:t>
      </w:r>
    </w:p>
    <w:p w14:paraId="4D59E8A1" w14:textId="77777777" w:rsidR="009A104C" w:rsidRPr="009A104C" w:rsidRDefault="009A104C" w:rsidP="009A104C">
      <w:pPr>
        <w:numPr>
          <w:ilvl w:val="1"/>
          <w:numId w:val="18"/>
        </w:numPr>
      </w:pPr>
      <w:r w:rsidRPr="009A104C">
        <w:t>outcomes when multiple categories are affected; and</w:t>
      </w:r>
    </w:p>
    <w:p w14:paraId="0D3E49F9" w14:textId="77777777" w:rsidR="009A104C" w:rsidRPr="009A104C" w:rsidRDefault="009A104C" w:rsidP="009A104C">
      <w:pPr>
        <w:numPr>
          <w:ilvl w:val="0"/>
          <w:numId w:val="18"/>
        </w:numPr>
      </w:pPr>
      <w:r w:rsidRPr="009A104C">
        <w:t xml:space="preserve">clarifying interaction with commonly used </w:t>
      </w:r>
      <w:r w:rsidRPr="009A104C">
        <w:rPr>
          <w:b/>
          <w:bCs/>
        </w:rPr>
        <w:t>non-GAAP performance measures</w:t>
      </w:r>
      <w:r w:rsidRPr="009A104C">
        <w:t>, as classification changes may affect key subtotals under IFRS 18.</w:t>
      </w:r>
    </w:p>
    <w:p w14:paraId="29A894FF" w14:textId="77777777" w:rsidR="009A104C" w:rsidRPr="009A104C" w:rsidRDefault="009A104C" w:rsidP="009A104C">
      <w:r w:rsidRPr="009A104C">
        <w:t>These steps would enhance consistent application without amending the Standard.</w:t>
      </w:r>
    </w:p>
    <w:p w14:paraId="4368D5AD" w14:textId="77777777" w:rsidR="009A104C" w:rsidRPr="009A104C" w:rsidRDefault="00FC35BE" w:rsidP="009A104C">
      <w:r>
        <w:pict w14:anchorId="014E6CD0">
          <v:rect id="_x0000_i1032" style="width:0;height:1.5pt" o:hralign="center" o:hrstd="t" o:hr="t" fillcolor="#a0a0a0" stroked="f"/>
        </w:pict>
      </w:r>
    </w:p>
    <w:p w14:paraId="27DA1BED" w14:textId="77777777" w:rsidR="009A104C" w:rsidRPr="009A104C" w:rsidRDefault="009A104C" w:rsidP="009A104C">
      <w:pPr>
        <w:rPr>
          <w:b/>
          <w:bCs/>
        </w:rPr>
      </w:pPr>
      <w:r w:rsidRPr="009A104C">
        <w:rPr>
          <w:b/>
          <w:bCs/>
        </w:rPr>
        <w:t>8. Conclusion</w:t>
      </w:r>
    </w:p>
    <w:p w14:paraId="756E10E9" w14:textId="77777777" w:rsidR="009A104C" w:rsidRPr="009A104C" w:rsidRDefault="009A104C" w:rsidP="009A104C">
      <w:r w:rsidRPr="009A104C">
        <w:t>We support the Tentative Agenda Decision and agree that IFRS Accounting Standards provide a sufficient and principle-based framework to address the issue raised. The conclusions reached:</w:t>
      </w:r>
    </w:p>
    <w:p w14:paraId="1A8BB53B" w14:textId="77777777" w:rsidR="009A104C" w:rsidRPr="009A104C" w:rsidRDefault="009A104C" w:rsidP="009A104C">
      <w:pPr>
        <w:numPr>
          <w:ilvl w:val="0"/>
          <w:numId w:val="19"/>
        </w:numPr>
      </w:pPr>
      <w:r w:rsidRPr="009A104C">
        <w:t>enhance consistency,</w:t>
      </w:r>
    </w:p>
    <w:p w14:paraId="7CB45233" w14:textId="77777777" w:rsidR="009A104C" w:rsidRPr="009A104C" w:rsidRDefault="009A104C" w:rsidP="009A104C">
      <w:pPr>
        <w:numPr>
          <w:ilvl w:val="0"/>
          <w:numId w:val="19"/>
        </w:numPr>
      </w:pPr>
      <w:r w:rsidRPr="009A104C">
        <w:t>improve alignment between risk management and financial reporting, and</w:t>
      </w:r>
    </w:p>
    <w:p w14:paraId="2CC27074" w14:textId="77777777" w:rsidR="009A104C" w:rsidRPr="009A104C" w:rsidRDefault="009A104C" w:rsidP="009A104C">
      <w:pPr>
        <w:numPr>
          <w:ilvl w:val="0"/>
          <w:numId w:val="19"/>
        </w:numPr>
      </w:pPr>
      <w:r w:rsidRPr="009A104C">
        <w:t>reduce unnecessary volatility in operating results.</w:t>
      </w:r>
    </w:p>
    <w:p w14:paraId="3A60EAC8" w14:textId="77777777" w:rsidR="009A104C" w:rsidRPr="009A104C" w:rsidRDefault="009A104C" w:rsidP="009A104C">
      <w:r w:rsidRPr="009A104C">
        <w:t>We believe the TAD will significantly assist preparers, auditors and regulators in implementing IFRS 18 effectively.</w:t>
      </w:r>
    </w:p>
    <w:p w14:paraId="331BCFED" w14:textId="77777777" w:rsidR="009A104C" w:rsidRPr="009A104C" w:rsidRDefault="009A104C" w:rsidP="009A104C">
      <w:r w:rsidRPr="009A104C">
        <w:t>We appreciate the opportunity to submit our comments.</w:t>
      </w:r>
    </w:p>
    <w:p w14:paraId="4D0485B2" w14:textId="77777777" w:rsidR="009A104C" w:rsidRPr="009A104C" w:rsidRDefault="009A104C" w:rsidP="009A104C">
      <w:r w:rsidRPr="009A104C">
        <w:t>Yours faithfully,</w:t>
      </w:r>
    </w:p>
    <w:p w14:paraId="05241934" w14:textId="77777777" w:rsidR="009B6D94" w:rsidRDefault="009A104C" w:rsidP="009A104C">
      <w:pPr>
        <w:rPr>
          <w:b/>
          <w:bCs/>
        </w:rPr>
      </w:pPr>
      <w:r w:rsidRPr="009A104C">
        <w:rPr>
          <w:b/>
          <w:bCs/>
        </w:rPr>
        <w:t>For and on behalf of</w:t>
      </w:r>
      <w:r w:rsidRPr="009A104C">
        <w:rPr>
          <w:b/>
          <w:bCs/>
        </w:rPr>
        <w:br/>
      </w:r>
    </w:p>
    <w:p w14:paraId="6AF22357" w14:textId="77777777" w:rsidR="00DD7E9B" w:rsidRDefault="009B6D94" w:rsidP="009A104C">
      <w:pPr>
        <w:rPr>
          <w:b/>
          <w:bCs/>
        </w:rPr>
      </w:pPr>
      <w:r>
        <w:rPr>
          <w:b/>
          <w:bCs/>
        </w:rPr>
        <w:t>Harshal Lod</w:t>
      </w:r>
      <w:r w:rsidR="00DD7E9B">
        <w:rPr>
          <w:b/>
          <w:bCs/>
        </w:rPr>
        <w:t>ha</w:t>
      </w:r>
    </w:p>
    <w:p w14:paraId="4189EC42" w14:textId="5AFCC684" w:rsidR="009A104C" w:rsidRPr="009A104C" w:rsidRDefault="009438E9" w:rsidP="009A104C">
      <w:pPr>
        <w:rPr>
          <w:b/>
          <w:bCs/>
        </w:rPr>
      </w:pPr>
      <w:r>
        <w:rPr>
          <w:b/>
          <w:bCs/>
        </w:rPr>
        <w:t xml:space="preserve">Membership No. </w:t>
      </w:r>
      <w:r w:rsidR="00451311">
        <w:rPr>
          <w:b/>
          <w:bCs/>
        </w:rPr>
        <w:t>191475</w:t>
      </w:r>
      <w:r w:rsidR="009B6D94">
        <w:rPr>
          <w:b/>
          <w:bCs/>
        </w:rPr>
        <w:tab/>
      </w:r>
      <w:r w:rsidR="009B6D94">
        <w:rPr>
          <w:b/>
          <w:bCs/>
        </w:rPr>
        <w:tab/>
      </w:r>
    </w:p>
    <w:p w14:paraId="70E6FA35" w14:textId="77777777" w:rsidR="00A3429C" w:rsidRPr="009A104C" w:rsidRDefault="00A3429C" w:rsidP="009A104C"/>
    <w:sectPr w:rsidR="00A3429C" w:rsidRPr="009A104C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26D81"/>
    <w:multiLevelType w:val="multilevel"/>
    <w:tmpl w:val="833CF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40C82"/>
    <w:multiLevelType w:val="multilevel"/>
    <w:tmpl w:val="F630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B3139C"/>
    <w:multiLevelType w:val="multilevel"/>
    <w:tmpl w:val="FC0E2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A01865"/>
    <w:multiLevelType w:val="multilevel"/>
    <w:tmpl w:val="3DDC7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A840EF"/>
    <w:multiLevelType w:val="multilevel"/>
    <w:tmpl w:val="9CEA4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A2707B"/>
    <w:multiLevelType w:val="multilevel"/>
    <w:tmpl w:val="E8C08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B33D35"/>
    <w:multiLevelType w:val="multilevel"/>
    <w:tmpl w:val="D03C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9C0E39"/>
    <w:multiLevelType w:val="multilevel"/>
    <w:tmpl w:val="80DC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CD6099"/>
    <w:multiLevelType w:val="multilevel"/>
    <w:tmpl w:val="3A80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303A33"/>
    <w:multiLevelType w:val="multilevel"/>
    <w:tmpl w:val="117C2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F449D3"/>
    <w:multiLevelType w:val="multilevel"/>
    <w:tmpl w:val="F25AE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2F6614"/>
    <w:multiLevelType w:val="multilevel"/>
    <w:tmpl w:val="AB0A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6E737E"/>
    <w:multiLevelType w:val="multilevel"/>
    <w:tmpl w:val="13E6D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7D5272"/>
    <w:multiLevelType w:val="multilevel"/>
    <w:tmpl w:val="40021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C072B6"/>
    <w:multiLevelType w:val="multilevel"/>
    <w:tmpl w:val="F788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E102F9"/>
    <w:multiLevelType w:val="multilevel"/>
    <w:tmpl w:val="585E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85720B"/>
    <w:multiLevelType w:val="multilevel"/>
    <w:tmpl w:val="CC1A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E50F9E"/>
    <w:multiLevelType w:val="multilevel"/>
    <w:tmpl w:val="CCE61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D21813"/>
    <w:multiLevelType w:val="multilevel"/>
    <w:tmpl w:val="6C9E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C84529"/>
    <w:multiLevelType w:val="multilevel"/>
    <w:tmpl w:val="DE6EA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3785514">
    <w:abstractNumId w:val="10"/>
  </w:num>
  <w:num w:numId="2" w16cid:durableId="1275022091">
    <w:abstractNumId w:val="3"/>
  </w:num>
  <w:num w:numId="3" w16cid:durableId="1507790005">
    <w:abstractNumId w:val="6"/>
  </w:num>
  <w:num w:numId="4" w16cid:durableId="169685723">
    <w:abstractNumId w:val="5"/>
  </w:num>
  <w:num w:numId="5" w16cid:durableId="1961842992">
    <w:abstractNumId w:val="11"/>
  </w:num>
  <w:num w:numId="6" w16cid:durableId="58721649">
    <w:abstractNumId w:val="13"/>
  </w:num>
  <w:num w:numId="7" w16cid:durableId="1634748883">
    <w:abstractNumId w:val="1"/>
  </w:num>
  <w:num w:numId="8" w16cid:durableId="158353855">
    <w:abstractNumId w:val="4"/>
  </w:num>
  <w:num w:numId="9" w16cid:durableId="573930018">
    <w:abstractNumId w:val="18"/>
  </w:num>
  <w:num w:numId="10" w16cid:durableId="1657219263">
    <w:abstractNumId w:val="8"/>
  </w:num>
  <w:num w:numId="11" w16cid:durableId="1764064301">
    <w:abstractNumId w:val="17"/>
  </w:num>
  <w:num w:numId="12" w16cid:durableId="1104497757">
    <w:abstractNumId w:val="7"/>
  </w:num>
  <w:num w:numId="13" w16cid:durableId="1823152868">
    <w:abstractNumId w:val="12"/>
  </w:num>
  <w:num w:numId="14" w16cid:durableId="1758288985">
    <w:abstractNumId w:val="14"/>
  </w:num>
  <w:num w:numId="15" w16cid:durableId="1848905421">
    <w:abstractNumId w:val="2"/>
  </w:num>
  <w:num w:numId="16" w16cid:durableId="332495167">
    <w:abstractNumId w:val="19"/>
  </w:num>
  <w:num w:numId="17" w16cid:durableId="997925648">
    <w:abstractNumId w:val="9"/>
  </w:num>
  <w:num w:numId="18" w16cid:durableId="922838912">
    <w:abstractNumId w:val="16"/>
  </w:num>
  <w:num w:numId="19" w16cid:durableId="1052028">
    <w:abstractNumId w:val="15"/>
  </w:num>
  <w:num w:numId="20" w16cid:durableId="178692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065"/>
    <w:rsid w:val="000A2560"/>
    <w:rsid w:val="00184065"/>
    <w:rsid w:val="001A3F6C"/>
    <w:rsid w:val="001D6927"/>
    <w:rsid w:val="00322F72"/>
    <w:rsid w:val="00332E5C"/>
    <w:rsid w:val="0038319A"/>
    <w:rsid w:val="00434D4E"/>
    <w:rsid w:val="00451311"/>
    <w:rsid w:val="0065496A"/>
    <w:rsid w:val="009438E9"/>
    <w:rsid w:val="009A104C"/>
    <w:rsid w:val="009B6D94"/>
    <w:rsid w:val="009E4406"/>
    <w:rsid w:val="00A3429C"/>
    <w:rsid w:val="00BC780A"/>
    <w:rsid w:val="00C119B1"/>
    <w:rsid w:val="00DD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2C5B9"/>
  <w15:chartTrackingRefBased/>
  <w15:docId w15:val="{20AE9A74-B67A-4935-A5CB-0F90C63E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0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0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0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0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0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0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0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0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0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065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065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065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0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0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0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0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0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0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0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8406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0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8406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840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0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0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0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0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0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776</Words>
  <Characters>4426</Characters>
  <Application>Microsoft Office Word</Application>
  <DocSecurity>0</DocSecurity>
  <Lines>36</Lines>
  <Paragraphs>10</Paragraphs>
  <ScaleCrop>false</ScaleCrop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7</cp:revision>
  <dcterms:created xsi:type="dcterms:W3CDTF">2025-12-29T07:15:00Z</dcterms:created>
  <dcterms:modified xsi:type="dcterms:W3CDTF">2025-12-30T12:29:00Z</dcterms:modified>
</cp:coreProperties>
</file>